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02" w:rsidRDefault="00094202" w:rsidP="00094202">
      <w:pPr>
        <w:jc w:val="center"/>
        <w:rPr>
          <w:b/>
        </w:rPr>
      </w:pPr>
      <w:r>
        <w:rPr>
          <w:b/>
        </w:rPr>
        <w:t xml:space="preserve">Отчет  по опытно-экспериментальной работе </w:t>
      </w:r>
    </w:p>
    <w:p w:rsidR="00094202" w:rsidRDefault="00094202" w:rsidP="00094202">
      <w:pPr>
        <w:jc w:val="center"/>
        <w:rPr>
          <w:b/>
        </w:rPr>
      </w:pPr>
      <w:r>
        <w:rPr>
          <w:b/>
        </w:rPr>
        <w:t>образовательного учреждения  за 2013-2014 г.г.</w:t>
      </w:r>
    </w:p>
    <w:p w:rsidR="00094202" w:rsidRDefault="00094202" w:rsidP="00094202">
      <w:pPr>
        <w:jc w:val="center"/>
      </w:pPr>
      <w:r>
        <w:rPr>
          <w:b/>
        </w:rPr>
        <w:t>(</w:t>
      </w:r>
      <w:r>
        <w:t>форма представления результатов ОЭР для ОУ –</w:t>
      </w:r>
      <w:bookmarkStart w:id="0" w:name="_GoBack"/>
      <w:bookmarkEnd w:id="0"/>
      <w:r>
        <w:t xml:space="preserve">экспериментальных площадок) </w:t>
      </w:r>
    </w:p>
    <w:tbl>
      <w:tblPr>
        <w:tblW w:w="10080" w:type="dxa"/>
        <w:tblInd w:w="-612" w:type="dxa"/>
        <w:tblLayout w:type="fixed"/>
        <w:tblLook w:val="01E0"/>
      </w:tblPr>
      <w:tblGrid>
        <w:gridCol w:w="900"/>
        <w:gridCol w:w="9180"/>
      </w:tblGrid>
      <w:tr w:rsidR="00094202" w:rsidTr="00094202">
        <w:tc>
          <w:tcPr>
            <w:tcW w:w="900" w:type="dxa"/>
          </w:tcPr>
          <w:p w:rsidR="00094202" w:rsidRDefault="00094202" w:rsidP="00677622">
            <w:pPr>
              <w:numPr>
                <w:ilvl w:val="0"/>
                <w:numId w:val="1"/>
              </w:numPr>
              <w:tabs>
                <w:tab w:val="left" w:pos="0"/>
                <w:tab w:val="left" w:pos="180"/>
                <w:tab w:val="left" w:pos="283"/>
              </w:tabs>
            </w:pPr>
          </w:p>
        </w:tc>
        <w:tc>
          <w:tcPr>
            <w:tcW w:w="9180" w:type="dxa"/>
            <w:hideMark/>
          </w:tcPr>
          <w:p w:rsidR="00094202" w:rsidRDefault="00094202">
            <w:r>
              <w:t>Исполнитель:</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2464"/>
              <w:gridCol w:w="2138"/>
              <w:gridCol w:w="1873"/>
            </w:tblGrid>
            <w:tr w:rsidR="00094202">
              <w:tc>
                <w:tcPr>
                  <w:tcW w:w="2407" w:type="dxa"/>
                  <w:tcBorders>
                    <w:top w:val="single" w:sz="4" w:space="0" w:color="auto"/>
                    <w:left w:val="single" w:sz="4" w:space="0" w:color="auto"/>
                    <w:bottom w:val="single" w:sz="4" w:space="0" w:color="auto"/>
                    <w:right w:val="single" w:sz="4" w:space="0" w:color="auto"/>
                  </w:tcBorders>
                  <w:hideMark/>
                </w:tcPr>
                <w:p w:rsidR="00094202" w:rsidRDefault="00094202">
                  <w:pPr>
                    <w:jc w:val="center"/>
                    <w:rPr>
                      <w:i/>
                    </w:rPr>
                  </w:pPr>
                  <w:r>
                    <w:rPr>
                      <w:i/>
                    </w:rPr>
                    <w:t>ОУ</w:t>
                  </w:r>
                </w:p>
                <w:p w:rsidR="00094202" w:rsidRDefault="00094202">
                  <w:pPr>
                    <w:jc w:val="center"/>
                    <w:rPr>
                      <w:i/>
                    </w:rPr>
                  </w:pPr>
                  <w:r>
                    <w:rPr>
                      <w:i/>
                    </w:rPr>
                    <w:t>(в соответствии с уставом)</w:t>
                  </w:r>
                </w:p>
              </w:tc>
              <w:tc>
                <w:tcPr>
                  <w:tcW w:w="2466" w:type="dxa"/>
                  <w:tcBorders>
                    <w:top w:val="single" w:sz="4" w:space="0" w:color="auto"/>
                    <w:left w:val="single" w:sz="4" w:space="0" w:color="auto"/>
                    <w:bottom w:val="single" w:sz="4" w:space="0" w:color="auto"/>
                    <w:right w:val="single" w:sz="4" w:space="0" w:color="auto"/>
                  </w:tcBorders>
                  <w:hideMark/>
                </w:tcPr>
                <w:p w:rsidR="00094202" w:rsidRDefault="00094202">
                  <w:pPr>
                    <w:jc w:val="center"/>
                    <w:rPr>
                      <w:i/>
                    </w:rPr>
                  </w:pPr>
                  <w:r>
                    <w:rPr>
                      <w:i/>
                    </w:rPr>
                    <w:t>Юридический и фактический адрес</w:t>
                  </w:r>
                </w:p>
              </w:tc>
              <w:tc>
                <w:tcPr>
                  <w:tcW w:w="2140" w:type="dxa"/>
                  <w:tcBorders>
                    <w:top w:val="single" w:sz="4" w:space="0" w:color="auto"/>
                    <w:left w:val="single" w:sz="4" w:space="0" w:color="auto"/>
                    <w:bottom w:val="single" w:sz="4" w:space="0" w:color="auto"/>
                    <w:right w:val="single" w:sz="4" w:space="0" w:color="auto"/>
                  </w:tcBorders>
                  <w:hideMark/>
                </w:tcPr>
                <w:p w:rsidR="00094202" w:rsidRDefault="00094202">
                  <w:pPr>
                    <w:jc w:val="center"/>
                    <w:rPr>
                      <w:i/>
                    </w:rPr>
                  </w:pPr>
                  <w:r>
                    <w:rPr>
                      <w:i/>
                    </w:rPr>
                    <w:t>Директор, тел</w:t>
                  </w:r>
                </w:p>
              </w:tc>
              <w:tc>
                <w:tcPr>
                  <w:tcW w:w="1874" w:type="dxa"/>
                  <w:tcBorders>
                    <w:top w:val="single" w:sz="4" w:space="0" w:color="auto"/>
                    <w:left w:val="single" w:sz="4" w:space="0" w:color="auto"/>
                    <w:bottom w:val="single" w:sz="4" w:space="0" w:color="auto"/>
                    <w:right w:val="single" w:sz="4" w:space="0" w:color="auto"/>
                  </w:tcBorders>
                  <w:hideMark/>
                </w:tcPr>
                <w:p w:rsidR="00094202" w:rsidRDefault="00094202">
                  <w:pPr>
                    <w:ind w:firstLine="188"/>
                    <w:jc w:val="center"/>
                    <w:rPr>
                      <w:i/>
                    </w:rPr>
                  </w:pPr>
                  <w:r>
                    <w:rPr>
                      <w:i/>
                    </w:rPr>
                    <w:t>Координатор (тел)</w:t>
                  </w:r>
                </w:p>
              </w:tc>
            </w:tr>
            <w:tr w:rsidR="00094202">
              <w:tc>
                <w:tcPr>
                  <w:tcW w:w="2407" w:type="dxa"/>
                  <w:tcBorders>
                    <w:top w:val="single" w:sz="4" w:space="0" w:color="auto"/>
                    <w:left w:val="single" w:sz="4" w:space="0" w:color="auto"/>
                    <w:bottom w:val="single" w:sz="4" w:space="0" w:color="auto"/>
                    <w:right w:val="single" w:sz="4" w:space="0" w:color="auto"/>
                  </w:tcBorders>
                  <w:hideMark/>
                </w:tcPr>
                <w:p w:rsidR="00094202" w:rsidRDefault="00094202">
                  <w:r>
                    <w:t>Государственное бюджетное общеобразовательное учреждение школа № 355 Московского района Санкт-Петербурга</w:t>
                  </w:r>
                </w:p>
              </w:tc>
              <w:tc>
                <w:tcPr>
                  <w:tcW w:w="2466" w:type="dxa"/>
                  <w:tcBorders>
                    <w:top w:val="single" w:sz="4" w:space="0" w:color="auto"/>
                    <w:left w:val="single" w:sz="4" w:space="0" w:color="auto"/>
                    <w:bottom w:val="single" w:sz="4" w:space="0" w:color="auto"/>
                    <w:right w:val="single" w:sz="4" w:space="0" w:color="auto"/>
                  </w:tcBorders>
                  <w:hideMark/>
                </w:tcPr>
                <w:p w:rsidR="00094202" w:rsidRDefault="00094202">
                  <w:r>
                    <w:t>196 105 Санкт-Петербург, ул</w:t>
                  </w:r>
                  <w:proofErr w:type="gramStart"/>
                  <w:r>
                    <w:t>.Б</w:t>
                  </w:r>
                  <w:proofErr w:type="gramEnd"/>
                  <w:r>
                    <w:t>лагодатная, д.32, литера А</w:t>
                  </w:r>
                </w:p>
              </w:tc>
              <w:tc>
                <w:tcPr>
                  <w:tcW w:w="2140" w:type="dxa"/>
                  <w:tcBorders>
                    <w:top w:val="single" w:sz="4" w:space="0" w:color="auto"/>
                    <w:left w:val="single" w:sz="4" w:space="0" w:color="auto"/>
                    <w:bottom w:val="single" w:sz="4" w:space="0" w:color="auto"/>
                    <w:right w:val="single" w:sz="4" w:space="0" w:color="auto"/>
                  </w:tcBorders>
                  <w:hideMark/>
                </w:tcPr>
                <w:p w:rsidR="00094202" w:rsidRDefault="00094202">
                  <w:r>
                    <w:t>Баринова Татьяна Павловна, Почётный работник общего образования Российской Федерации,</w:t>
                  </w:r>
                </w:p>
                <w:p w:rsidR="00094202" w:rsidRDefault="00094202">
                  <w:r>
                    <w:t>учитель высшей квалификационной категории</w:t>
                  </w:r>
                </w:p>
                <w:p w:rsidR="00094202" w:rsidRDefault="00094202">
                  <w:r>
                    <w:t>тел: 388-02-77</w:t>
                  </w:r>
                </w:p>
              </w:tc>
              <w:tc>
                <w:tcPr>
                  <w:tcW w:w="1874" w:type="dxa"/>
                  <w:tcBorders>
                    <w:top w:val="single" w:sz="4" w:space="0" w:color="auto"/>
                    <w:left w:val="single" w:sz="4" w:space="0" w:color="auto"/>
                    <w:bottom w:val="single" w:sz="4" w:space="0" w:color="auto"/>
                    <w:right w:val="single" w:sz="4" w:space="0" w:color="auto"/>
                  </w:tcBorders>
                  <w:hideMark/>
                </w:tcPr>
                <w:p w:rsidR="00094202" w:rsidRDefault="00094202">
                  <w:r>
                    <w:t>Казакова Валентина</w:t>
                  </w:r>
                </w:p>
                <w:p w:rsidR="00094202" w:rsidRDefault="00094202">
                  <w:r>
                    <w:t>Николаевна, зам</w:t>
                  </w:r>
                  <w:proofErr w:type="gramStart"/>
                  <w:r>
                    <w:t>.д</w:t>
                  </w:r>
                  <w:proofErr w:type="gramEnd"/>
                  <w:r>
                    <w:t>иректора по УВР</w:t>
                  </w:r>
                </w:p>
                <w:p w:rsidR="00094202" w:rsidRDefault="00094202">
                  <w:r>
                    <w:t>Карюкина</w:t>
                  </w:r>
                </w:p>
                <w:p w:rsidR="00094202" w:rsidRDefault="00094202">
                  <w:r>
                    <w:t>Светлана Викторовна, зам</w:t>
                  </w:r>
                  <w:proofErr w:type="gramStart"/>
                  <w:r>
                    <w:t>.д</w:t>
                  </w:r>
                  <w:proofErr w:type="gramEnd"/>
                  <w:r>
                    <w:t>иректора по УВР</w:t>
                  </w:r>
                </w:p>
                <w:p w:rsidR="00094202" w:rsidRDefault="00094202">
                  <w:r>
                    <w:t>417-55-11</w:t>
                  </w:r>
                </w:p>
              </w:tc>
            </w:tr>
          </w:tbl>
          <w:p w:rsidR="00094202" w:rsidRDefault="00094202"/>
        </w:tc>
      </w:tr>
      <w:tr w:rsidR="00094202" w:rsidTr="00094202">
        <w:tc>
          <w:tcPr>
            <w:tcW w:w="900" w:type="dxa"/>
          </w:tcPr>
          <w:p w:rsidR="00094202" w:rsidRDefault="00094202" w:rsidP="00677622">
            <w:pPr>
              <w:numPr>
                <w:ilvl w:val="0"/>
                <w:numId w:val="1"/>
              </w:numPr>
              <w:tabs>
                <w:tab w:val="left" w:pos="0"/>
                <w:tab w:val="left" w:pos="180"/>
                <w:tab w:val="left" w:pos="283"/>
              </w:tabs>
            </w:pPr>
          </w:p>
        </w:tc>
        <w:tc>
          <w:tcPr>
            <w:tcW w:w="9180" w:type="dxa"/>
            <w:hideMark/>
          </w:tcPr>
          <w:p w:rsidR="00094202" w:rsidRDefault="00094202">
            <w:r>
              <w:t xml:space="preserve">Название    эксперимента </w:t>
            </w:r>
            <w:r>
              <w:rPr>
                <w:b/>
              </w:rPr>
              <w:t>«Проектирование индивидуальных образовательных траекторий различных категорий учащихся на основе организационной модели дистанционного обучения</w:t>
            </w:r>
            <w:r>
              <w:t xml:space="preserve">», </w:t>
            </w:r>
          </w:p>
          <w:p w:rsidR="00094202" w:rsidRDefault="00094202">
            <w:r>
              <w:t>сроки: 01.01.2014-31.12.2016</w:t>
            </w:r>
          </w:p>
        </w:tc>
      </w:tr>
      <w:tr w:rsidR="00094202" w:rsidTr="00094202">
        <w:tc>
          <w:tcPr>
            <w:tcW w:w="900" w:type="dxa"/>
          </w:tcPr>
          <w:p w:rsidR="00094202" w:rsidRDefault="00094202" w:rsidP="00677622">
            <w:pPr>
              <w:numPr>
                <w:ilvl w:val="0"/>
                <w:numId w:val="1"/>
              </w:numPr>
              <w:tabs>
                <w:tab w:val="left" w:pos="0"/>
                <w:tab w:val="left" w:pos="180"/>
                <w:tab w:val="left" w:pos="283"/>
              </w:tabs>
            </w:pPr>
          </w:p>
        </w:tc>
        <w:tc>
          <w:tcPr>
            <w:tcW w:w="9180" w:type="dxa"/>
            <w:hideMark/>
          </w:tcPr>
          <w:p w:rsidR="00094202" w:rsidRDefault="00094202">
            <w:pPr>
              <w:rPr>
                <w:lang w:val="en-US"/>
              </w:rPr>
            </w:pPr>
            <w:r>
              <w:t xml:space="preserve">Количество этапов эксперимента   — </w:t>
            </w:r>
            <w:r>
              <w:rPr>
                <w:b/>
                <w:lang w:val="en-US"/>
              </w:rPr>
              <w:t xml:space="preserve">3 </w:t>
            </w:r>
          </w:p>
        </w:tc>
      </w:tr>
      <w:tr w:rsidR="00094202" w:rsidTr="00094202">
        <w:tc>
          <w:tcPr>
            <w:tcW w:w="900" w:type="dxa"/>
          </w:tcPr>
          <w:p w:rsidR="00094202" w:rsidRDefault="00094202" w:rsidP="00677622">
            <w:pPr>
              <w:numPr>
                <w:ilvl w:val="0"/>
                <w:numId w:val="1"/>
              </w:numPr>
              <w:tabs>
                <w:tab w:val="left" w:pos="0"/>
                <w:tab w:val="left" w:pos="180"/>
                <w:tab w:val="left" w:pos="283"/>
              </w:tabs>
            </w:pPr>
          </w:p>
        </w:tc>
        <w:tc>
          <w:tcPr>
            <w:tcW w:w="9180" w:type="dxa"/>
            <w:hideMark/>
          </w:tcPr>
          <w:p w:rsidR="00094202" w:rsidRDefault="00094202">
            <w:r>
              <w:t xml:space="preserve">Представленные результаты соответствуют </w:t>
            </w:r>
            <w:r>
              <w:rPr>
                <w:b/>
              </w:rPr>
              <w:t xml:space="preserve">   1  </w:t>
            </w:r>
            <w:r>
              <w:t xml:space="preserve"> этапу ОЭР</w:t>
            </w:r>
          </w:p>
        </w:tc>
      </w:tr>
      <w:tr w:rsidR="00094202" w:rsidTr="00094202">
        <w:tc>
          <w:tcPr>
            <w:tcW w:w="900" w:type="dxa"/>
          </w:tcPr>
          <w:p w:rsidR="00094202" w:rsidRDefault="00094202" w:rsidP="00677622">
            <w:pPr>
              <w:numPr>
                <w:ilvl w:val="0"/>
                <w:numId w:val="1"/>
              </w:numPr>
              <w:tabs>
                <w:tab w:val="left" w:pos="0"/>
                <w:tab w:val="left" w:pos="180"/>
                <w:tab w:val="left" w:pos="283"/>
              </w:tabs>
            </w:pPr>
          </w:p>
        </w:tc>
        <w:tc>
          <w:tcPr>
            <w:tcW w:w="9180" w:type="dxa"/>
            <w:hideMark/>
          </w:tcPr>
          <w:p w:rsidR="00094202" w:rsidRDefault="00094202">
            <w:r>
              <w:t>Общая характеристика эксперимента по масштабу преобразований</w:t>
            </w:r>
          </w:p>
          <w:p w:rsidR="00094202" w:rsidRDefault="00094202">
            <w:r>
              <w:t xml:space="preserve"> или направление опытно-экспериментальной деятельности.  </w:t>
            </w:r>
          </w:p>
          <w:p w:rsidR="00094202" w:rsidRDefault="00094202" w:rsidP="00677622">
            <w:pPr>
              <w:numPr>
                <w:ilvl w:val="0"/>
                <w:numId w:val="2"/>
              </w:numPr>
            </w:pPr>
            <w:r>
              <w:t>Проведен мониторинг уровня квалификации педагогических работников, уровня соответствия технического оснащения школы задачам ОЭР, выявлен фактический уровень заявленных показателей;</w:t>
            </w:r>
          </w:p>
          <w:p w:rsidR="00094202" w:rsidRDefault="00094202" w:rsidP="00677622">
            <w:pPr>
              <w:numPr>
                <w:ilvl w:val="0"/>
                <w:numId w:val="2"/>
              </w:numPr>
            </w:pPr>
            <w:r>
              <w:t>Проведена оценка фактического состояния нормативной базы, осуществлено проектирование локальных актов школы, регулирующих взаимоотношения субъектов дистанционного обучения;</w:t>
            </w:r>
          </w:p>
          <w:p w:rsidR="00094202" w:rsidRDefault="00094202" w:rsidP="00677622">
            <w:pPr>
              <w:numPr>
                <w:ilvl w:val="0"/>
                <w:numId w:val="2"/>
              </w:numPr>
            </w:pPr>
            <w:r>
              <w:t>Определен состав учебных курсов;</w:t>
            </w:r>
          </w:p>
          <w:p w:rsidR="00094202" w:rsidRDefault="00094202" w:rsidP="00677622">
            <w:pPr>
              <w:numPr>
                <w:ilvl w:val="0"/>
                <w:numId w:val="2"/>
              </w:numPr>
            </w:pPr>
            <w:r>
              <w:t>Сформированы экспериментальная и контрольная группы и осуществляется образовательный процесс с использованием  дистанционных технологий;</w:t>
            </w:r>
          </w:p>
          <w:p w:rsidR="00094202" w:rsidRDefault="00094202" w:rsidP="00677622">
            <w:pPr>
              <w:numPr>
                <w:ilvl w:val="0"/>
                <w:numId w:val="2"/>
              </w:numPr>
            </w:pPr>
            <w:r>
              <w:t>Проведен мониторинг в экспериментальной и контрольной группах и контроль результатов обучения</w:t>
            </w:r>
          </w:p>
        </w:tc>
      </w:tr>
      <w:tr w:rsidR="00094202" w:rsidTr="00094202">
        <w:tc>
          <w:tcPr>
            <w:tcW w:w="900" w:type="dxa"/>
          </w:tcPr>
          <w:p w:rsidR="00094202" w:rsidRDefault="00094202" w:rsidP="00677622">
            <w:pPr>
              <w:numPr>
                <w:ilvl w:val="0"/>
                <w:numId w:val="1"/>
              </w:numPr>
              <w:tabs>
                <w:tab w:val="left" w:pos="0"/>
                <w:tab w:val="left" w:pos="180"/>
                <w:tab w:val="left" w:pos="283"/>
              </w:tabs>
            </w:pPr>
          </w:p>
        </w:tc>
        <w:tc>
          <w:tcPr>
            <w:tcW w:w="9180" w:type="dxa"/>
            <w:hideMark/>
          </w:tcPr>
          <w:p w:rsidR="00094202" w:rsidRDefault="00094202">
            <w:r>
              <w:t>Цель 1  этапа эксперимента: подготовка к формированию системы дистанционного обучения для обеспечения непрерывного доступа учащихся к образовательным услугам, анализ существующей нормативной документации.</w:t>
            </w:r>
          </w:p>
        </w:tc>
      </w:tr>
      <w:tr w:rsidR="00094202" w:rsidTr="00094202">
        <w:tc>
          <w:tcPr>
            <w:tcW w:w="900" w:type="dxa"/>
          </w:tcPr>
          <w:p w:rsidR="00094202" w:rsidRDefault="00094202" w:rsidP="00677622">
            <w:pPr>
              <w:numPr>
                <w:ilvl w:val="0"/>
                <w:numId w:val="1"/>
              </w:numPr>
              <w:tabs>
                <w:tab w:val="left" w:pos="0"/>
                <w:tab w:val="left" w:pos="180"/>
                <w:tab w:val="left" w:pos="283"/>
              </w:tabs>
            </w:pPr>
          </w:p>
        </w:tc>
        <w:tc>
          <w:tcPr>
            <w:tcW w:w="9180" w:type="dxa"/>
          </w:tcPr>
          <w:p w:rsidR="00094202" w:rsidRDefault="00094202">
            <w:pPr>
              <w:jc w:val="both"/>
            </w:pPr>
            <w:r>
              <w:t xml:space="preserve">Задачи   1  этапа эксперимента: </w:t>
            </w:r>
          </w:p>
          <w:p w:rsidR="00094202" w:rsidRDefault="00094202">
            <w:pPr>
              <w:jc w:val="both"/>
            </w:pPr>
            <w:r>
              <w:t>1.Анализ фактического состояния.</w:t>
            </w:r>
          </w:p>
          <w:p w:rsidR="00094202" w:rsidRDefault="00094202">
            <w:pPr>
              <w:jc w:val="both"/>
            </w:pPr>
            <w:r>
              <w:t>2. Анализ актуального состояния проблемы.</w:t>
            </w:r>
          </w:p>
          <w:p w:rsidR="00094202" w:rsidRDefault="00094202">
            <w:pPr>
              <w:jc w:val="both"/>
            </w:pPr>
            <w:r>
              <w:t>3. Выбор подходов достижения цели.</w:t>
            </w:r>
          </w:p>
          <w:p w:rsidR="00094202" w:rsidRDefault="00094202">
            <w:pPr>
              <w:jc w:val="both"/>
            </w:pPr>
            <w:r>
              <w:t>4. Организация повышения квалификации педагогов.</w:t>
            </w:r>
          </w:p>
          <w:p w:rsidR="00094202" w:rsidRDefault="00094202">
            <w:pPr>
              <w:jc w:val="both"/>
            </w:pPr>
            <w:r>
              <w:t>5. Организация педагогического взаимодействия участников эксперимента</w:t>
            </w:r>
          </w:p>
          <w:p w:rsidR="00094202" w:rsidRDefault="00094202"/>
        </w:tc>
      </w:tr>
      <w:tr w:rsidR="00094202" w:rsidTr="00094202">
        <w:tc>
          <w:tcPr>
            <w:tcW w:w="900" w:type="dxa"/>
          </w:tcPr>
          <w:p w:rsidR="00094202" w:rsidRDefault="00094202" w:rsidP="00677622">
            <w:pPr>
              <w:numPr>
                <w:ilvl w:val="0"/>
                <w:numId w:val="1"/>
              </w:numPr>
              <w:tabs>
                <w:tab w:val="left" w:pos="0"/>
                <w:tab w:val="left" w:pos="180"/>
                <w:tab w:val="left" w:pos="283"/>
              </w:tabs>
            </w:pPr>
          </w:p>
        </w:tc>
        <w:tc>
          <w:tcPr>
            <w:tcW w:w="9180" w:type="dxa"/>
            <w:hideMark/>
          </w:tcPr>
          <w:p w:rsidR="00094202" w:rsidRDefault="00094202">
            <w:r>
              <w:t xml:space="preserve">Описание методов и мероприятий  опытно-экспериментальной деятельности на данном этапе эксперимента. </w:t>
            </w:r>
          </w:p>
          <w:p w:rsidR="00094202" w:rsidRDefault="00094202">
            <w:r>
              <w:t xml:space="preserve">На первом этапе эксперимента использовались различные методы анализа сложившейся практики обучения и фактического состояния: анализ документов, </w:t>
            </w:r>
            <w:r>
              <w:rPr>
                <w:lang w:val="en-US"/>
              </w:rPr>
              <w:t>SWOT</w:t>
            </w:r>
            <w:r>
              <w:t xml:space="preserve">-анализ, анкетирование, социологические опросы, мониторинг динамики </w:t>
            </w:r>
            <w:r>
              <w:lastRenderedPageBreak/>
              <w:t>развития компетентностей.</w:t>
            </w:r>
          </w:p>
        </w:tc>
      </w:tr>
      <w:tr w:rsidR="00094202" w:rsidTr="00094202">
        <w:tc>
          <w:tcPr>
            <w:tcW w:w="900" w:type="dxa"/>
          </w:tcPr>
          <w:p w:rsidR="00094202" w:rsidRDefault="00094202" w:rsidP="00677622">
            <w:pPr>
              <w:numPr>
                <w:ilvl w:val="0"/>
                <w:numId w:val="1"/>
              </w:numPr>
              <w:tabs>
                <w:tab w:val="left" w:pos="0"/>
                <w:tab w:val="left" w:pos="180"/>
                <w:tab w:val="left" w:pos="283"/>
              </w:tabs>
            </w:pPr>
          </w:p>
        </w:tc>
        <w:tc>
          <w:tcPr>
            <w:tcW w:w="9180" w:type="dxa"/>
          </w:tcPr>
          <w:p w:rsidR="00094202" w:rsidRDefault="00094202">
            <w:r>
              <w:t xml:space="preserve">Перечень конечных продуктов опытно-экспериментальной деятельности: </w:t>
            </w:r>
          </w:p>
          <w:p w:rsidR="00094202" w:rsidRPr="0006024C" w:rsidRDefault="007618B8" w:rsidP="003E7EA6">
            <w:pPr>
              <w:pStyle w:val="2"/>
              <w:numPr>
                <w:ilvl w:val="0"/>
                <w:numId w:val="4"/>
              </w:numPr>
              <w:rPr>
                <w:rStyle w:val="a3"/>
                <w:rFonts w:ascii="Times New Roman" w:hAnsi="Times New Roman" w:cs="Times New Roman"/>
              </w:rPr>
            </w:pPr>
            <w:r w:rsidRPr="007618B8">
              <w:rPr>
                <w:rFonts w:ascii="Times New Roman" w:hAnsi="Times New Roman" w:cs="Times New Roman"/>
              </w:rPr>
              <w:t>Создание сайта домашнего обучения</w:t>
            </w:r>
            <w:r>
              <w:rPr>
                <w:rFonts w:ascii="Times New Roman" w:hAnsi="Times New Roman" w:cs="Times New Roman"/>
              </w:rPr>
              <w:t xml:space="preserve"> с разделом, </w:t>
            </w:r>
            <w:proofErr w:type="gramStart"/>
            <w:r>
              <w:rPr>
                <w:rFonts w:ascii="Times New Roman" w:hAnsi="Times New Roman" w:cs="Times New Roman"/>
              </w:rPr>
              <w:t>посвященном</w:t>
            </w:r>
            <w:proofErr w:type="gramEnd"/>
            <w:r>
              <w:rPr>
                <w:rFonts w:ascii="Times New Roman" w:hAnsi="Times New Roman" w:cs="Times New Roman"/>
              </w:rPr>
              <w:t xml:space="preserve"> опытно-экспериментальной работе </w:t>
            </w:r>
            <w:hyperlink r:id="rId6" w:history="1">
              <w:r w:rsidRPr="007618B8">
                <w:rPr>
                  <w:rStyle w:val="a3"/>
                  <w:rFonts w:ascii="Times New Roman" w:hAnsi="Times New Roman" w:cs="Times New Roman"/>
                  <w:lang w:val="en-US"/>
                </w:rPr>
                <w:t>life</w:t>
              </w:r>
              <w:r w:rsidRPr="007618B8">
                <w:rPr>
                  <w:rStyle w:val="a3"/>
                  <w:rFonts w:ascii="Times New Roman" w:hAnsi="Times New Roman" w:cs="Times New Roman"/>
                </w:rPr>
                <w:t>355.</w:t>
              </w:r>
              <w:proofErr w:type="spellStart"/>
              <w:r w:rsidRPr="007618B8">
                <w:rPr>
                  <w:rStyle w:val="a3"/>
                  <w:rFonts w:ascii="Times New Roman" w:hAnsi="Times New Roman" w:cs="Times New Roman"/>
                  <w:lang w:val="en-US"/>
                </w:rPr>
                <w:t>ucoz</w:t>
              </w:r>
              <w:proofErr w:type="spellEnd"/>
              <w:r w:rsidRPr="007618B8">
                <w:rPr>
                  <w:rStyle w:val="a3"/>
                  <w:rFonts w:ascii="Times New Roman" w:hAnsi="Times New Roman" w:cs="Times New Roman"/>
                </w:rPr>
                <w:t>.</w:t>
              </w:r>
              <w:proofErr w:type="spellStart"/>
              <w:r w:rsidRPr="007618B8">
                <w:rPr>
                  <w:rStyle w:val="a3"/>
                  <w:rFonts w:ascii="Times New Roman" w:hAnsi="Times New Roman" w:cs="Times New Roman"/>
                  <w:lang w:val="en-US"/>
                </w:rPr>
                <w:t>ru</w:t>
              </w:r>
              <w:proofErr w:type="spellEnd"/>
            </w:hyperlink>
          </w:p>
          <w:p w:rsidR="003E7EA6" w:rsidRPr="003E7EA6" w:rsidRDefault="003E7EA6" w:rsidP="003E7EA6">
            <w:pPr>
              <w:pStyle w:val="2"/>
              <w:numPr>
                <w:ilvl w:val="0"/>
                <w:numId w:val="4"/>
              </w:numPr>
              <w:rPr>
                <w:rFonts w:ascii="Times New Roman" w:hAnsi="Times New Roman" w:cs="Times New Roman"/>
              </w:rPr>
            </w:pPr>
            <w:r w:rsidRPr="003E7EA6">
              <w:rPr>
                <w:rFonts w:ascii="Times New Roman" w:hAnsi="Times New Roman" w:cs="Times New Roman"/>
              </w:rPr>
              <w:t xml:space="preserve">Технологическая карта используемых технологий. </w:t>
            </w:r>
            <w:proofErr w:type="gramStart"/>
            <w:r w:rsidRPr="003E7EA6">
              <w:rPr>
                <w:rFonts w:ascii="Times New Roman" w:hAnsi="Times New Roman" w:cs="Times New Roman"/>
              </w:rPr>
              <w:t>Предназначена</w:t>
            </w:r>
            <w:proofErr w:type="gramEnd"/>
            <w:r w:rsidRPr="003E7EA6">
              <w:rPr>
                <w:rFonts w:ascii="Times New Roman" w:hAnsi="Times New Roman" w:cs="Times New Roman"/>
              </w:rPr>
              <w:t xml:space="preserve"> для выявления технологий фактически используемых в образовательном учреждении при организации дистанционного обучения.</w:t>
            </w:r>
          </w:p>
          <w:p w:rsidR="003E7EA6" w:rsidRPr="003E7EA6" w:rsidRDefault="003E7EA6" w:rsidP="003E7EA6">
            <w:pPr>
              <w:pStyle w:val="2"/>
              <w:numPr>
                <w:ilvl w:val="0"/>
                <w:numId w:val="4"/>
              </w:numPr>
              <w:rPr>
                <w:rFonts w:ascii="Times New Roman" w:hAnsi="Times New Roman" w:cs="Times New Roman"/>
              </w:rPr>
            </w:pPr>
            <w:r w:rsidRPr="003E7EA6">
              <w:rPr>
                <w:rFonts w:ascii="Times New Roman" w:hAnsi="Times New Roman" w:cs="Times New Roman"/>
              </w:rPr>
              <w:t>Классификатор электронных образовательных ресурсов. Продукт позволяет осуществить систематизацию и каталогизацию ЭОР относительно образовательной программы учреждения.</w:t>
            </w:r>
          </w:p>
          <w:p w:rsidR="003E7EA6" w:rsidRPr="003E7EA6" w:rsidRDefault="003E7EA6" w:rsidP="003E7EA6">
            <w:pPr>
              <w:pStyle w:val="2"/>
              <w:numPr>
                <w:ilvl w:val="0"/>
                <w:numId w:val="4"/>
              </w:numPr>
              <w:rPr>
                <w:rFonts w:ascii="Times New Roman" w:hAnsi="Times New Roman" w:cs="Times New Roman"/>
              </w:rPr>
            </w:pPr>
            <w:r w:rsidRPr="003E7EA6">
              <w:rPr>
                <w:rFonts w:ascii="Times New Roman" w:hAnsi="Times New Roman" w:cs="Times New Roman"/>
              </w:rPr>
              <w:t>Модель организации дистанционного обучения в общеобразовательной школе. Автор: Шапиро К. В.</w:t>
            </w:r>
            <w:r w:rsidRPr="003E7EA6">
              <w:rPr>
                <w:rFonts w:ascii="Times New Roman" w:hAnsi="Times New Roman" w:cs="Times New Roman"/>
              </w:rPr>
              <w:tab/>
              <w:t>Модель представляет состав и структуру взаимодействия функциональных элементов системы дистанционного обучения для любых типов образовательных учреждений</w:t>
            </w:r>
          </w:p>
          <w:p w:rsidR="003E7EA6" w:rsidRPr="003E7EA6" w:rsidRDefault="003E7EA6" w:rsidP="003E7EA6">
            <w:pPr>
              <w:pStyle w:val="2"/>
              <w:numPr>
                <w:ilvl w:val="0"/>
                <w:numId w:val="4"/>
              </w:numPr>
              <w:rPr>
                <w:rFonts w:ascii="Times New Roman" w:hAnsi="Times New Roman" w:cs="Times New Roman"/>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1842"/>
              <w:gridCol w:w="2708"/>
            </w:tblGrid>
            <w:tr w:rsidR="003E7EA6" w:rsidRPr="00441B4A" w:rsidTr="00275846">
              <w:trPr>
                <w:jc w:val="center"/>
              </w:trPr>
              <w:tc>
                <w:tcPr>
                  <w:tcW w:w="4428" w:type="dxa"/>
                  <w:vAlign w:val="center"/>
                </w:tcPr>
                <w:p w:rsidR="003E7EA6" w:rsidRPr="004D536F" w:rsidRDefault="003E7EA6" w:rsidP="003E7EA6">
                  <w:pPr>
                    <w:jc w:val="center"/>
                  </w:pPr>
                  <w:r w:rsidRPr="004D536F">
                    <w:rPr>
                      <w:bCs/>
                      <w:szCs w:val="22"/>
                    </w:rPr>
                    <w:t>наименование статьи</w:t>
                  </w:r>
                </w:p>
              </w:tc>
              <w:tc>
                <w:tcPr>
                  <w:tcW w:w="1842" w:type="dxa"/>
                  <w:vAlign w:val="center"/>
                </w:tcPr>
                <w:p w:rsidR="003E7EA6" w:rsidRPr="004D536F" w:rsidRDefault="003E7EA6" w:rsidP="003E7EA6">
                  <w:pPr>
                    <w:jc w:val="center"/>
                  </w:pPr>
                  <w:r w:rsidRPr="004D536F">
                    <w:rPr>
                      <w:bCs/>
                      <w:szCs w:val="22"/>
                    </w:rPr>
                    <w:t>Ф.И.О</w:t>
                  </w:r>
                </w:p>
              </w:tc>
              <w:tc>
                <w:tcPr>
                  <w:tcW w:w="2708" w:type="dxa"/>
                </w:tcPr>
                <w:p w:rsidR="003E7EA6" w:rsidRPr="004D536F" w:rsidRDefault="003E7EA6" w:rsidP="003E7EA6">
                  <w:pPr>
                    <w:jc w:val="center"/>
                    <w:rPr>
                      <w:lang w:val="en-US"/>
                    </w:rPr>
                  </w:pPr>
                  <w:r w:rsidRPr="004D536F">
                    <w:rPr>
                      <w:bCs/>
                      <w:szCs w:val="22"/>
                    </w:rPr>
                    <w:t>сборник</w:t>
                  </w:r>
                </w:p>
              </w:tc>
            </w:tr>
            <w:tr w:rsidR="003E7EA6" w:rsidRPr="00441B4A" w:rsidTr="00275846">
              <w:trPr>
                <w:jc w:val="center"/>
              </w:trPr>
              <w:tc>
                <w:tcPr>
                  <w:tcW w:w="4428" w:type="dxa"/>
                  <w:vAlign w:val="center"/>
                </w:tcPr>
                <w:p w:rsidR="003E7EA6" w:rsidRPr="00441B4A" w:rsidRDefault="003E7EA6" w:rsidP="00E06DE2">
                  <w:r w:rsidRPr="00441B4A">
                    <w:t>Роль ИКТ в учебно-воспитательном процессе как инструмент реализации ФГОС для детей с ОВЗ</w:t>
                  </w:r>
                </w:p>
              </w:tc>
              <w:tc>
                <w:tcPr>
                  <w:tcW w:w="1842" w:type="dxa"/>
                  <w:vAlign w:val="center"/>
                </w:tcPr>
                <w:p w:rsidR="003E7EA6" w:rsidRPr="00441B4A" w:rsidRDefault="003E7EA6" w:rsidP="003E7EA6">
                  <w:r w:rsidRPr="00441B4A">
                    <w:t>Баринова Т.П., Казакова В.Н., Карюкина С.В.</w:t>
                  </w:r>
                </w:p>
              </w:tc>
              <w:tc>
                <w:tcPr>
                  <w:tcW w:w="2708" w:type="dxa"/>
                </w:tcPr>
                <w:p w:rsidR="003E7EA6" w:rsidRPr="0006024C" w:rsidRDefault="003E7EA6" w:rsidP="00E06DE2">
                  <w:r w:rsidRPr="00754F41">
                    <w:rPr>
                      <w:lang w:val="en-US"/>
                    </w:rPr>
                    <w:t>V</w:t>
                  </w:r>
                  <w:proofErr w:type="spellStart"/>
                  <w:r w:rsidR="004812EA">
                    <w:t>конф</w:t>
                  </w:r>
                  <w:proofErr w:type="spellEnd"/>
                  <w:r w:rsidR="004812EA">
                    <w:t>. «ИТ для новой школы»</w:t>
                  </w:r>
                </w:p>
              </w:tc>
            </w:tr>
            <w:tr w:rsidR="003E7EA6" w:rsidRPr="00441B4A" w:rsidTr="00275846">
              <w:trPr>
                <w:jc w:val="center"/>
              </w:trPr>
              <w:tc>
                <w:tcPr>
                  <w:tcW w:w="4428" w:type="dxa"/>
                  <w:vAlign w:val="center"/>
                </w:tcPr>
                <w:p w:rsidR="003E7EA6" w:rsidRPr="00441B4A" w:rsidRDefault="003E7EA6" w:rsidP="00E06DE2">
                  <w:r w:rsidRPr="00441B4A">
                    <w:t>Междисциплинарный дистанционный исследовательский проект как условие для формирования УУД для детей с ОВЗ</w:t>
                  </w:r>
                </w:p>
              </w:tc>
              <w:tc>
                <w:tcPr>
                  <w:tcW w:w="1842" w:type="dxa"/>
                  <w:vAlign w:val="center"/>
                </w:tcPr>
                <w:p w:rsidR="003E7EA6" w:rsidRPr="00441B4A" w:rsidRDefault="003E7EA6" w:rsidP="003E7EA6">
                  <w:r w:rsidRPr="00441B4A">
                    <w:t>Звягин М.Г.</w:t>
                  </w:r>
                </w:p>
              </w:tc>
              <w:tc>
                <w:tcPr>
                  <w:tcW w:w="2708" w:type="dxa"/>
                </w:tcPr>
                <w:p w:rsidR="003E7EA6" w:rsidRPr="0006024C" w:rsidRDefault="003E7EA6" w:rsidP="00E06DE2">
                  <w:r w:rsidRPr="00754F41">
                    <w:rPr>
                      <w:lang w:val="en-US"/>
                    </w:rPr>
                    <w:t>V</w:t>
                  </w:r>
                  <w:proofErr w:type="spellStart"/>
                  <w:r w:rsidR="004812EA">
                    <w:t>конф</w:t>
                  </w:r>
                  <w:proofErr w:type="spellEnd"/>
                  <w:r w:rsidR="004812EA">
                    <w:t>. «ИТ для новой школы»</w:t>
                  </w:r>
                </w:p>
              </w:tc>
            </w:tr>
            <w:tr w:rsidR="003E7EA6" w:rsidRPr="00441B4A" w:rsidTr="00275846">
              <w:trPr>
                <w:jc w:val="center"/>
              </w:trPr>
              <w:tc>
                <w:tcPr>
                  <w:tcW w:w="4428" w:type="dxa"/>
                  <w:vAlign w:val="center"/>
                </w:tcPr>
                <w:p w:rsidR="003E7EA6" w:rsidRPr="00441B4A" w:rsidRDefault="003E7EA6" w:rsidP="00E06DE2">
                  <w:r w:rsidRPr="00441B4A">
                    <w:t>Виртуальное путешествие как значимый элемент социальной адаптации школьников с отклонениями здоровья</w:t>
                  </w:r>
                </w:p>
              </w:tc>
              <w:tc>
                <w:tcPr>
                  <w:tcW w:w="1842" w:type="dxa"/>
                  <w:vAlign w:val="center"/>
                </w:tcPr>
                <w:p w:rsidR="003E7EA6" w:rsidRPr="00441B4A" w:rsidRDefault="003E7EA6" w:rsidP="003E7EA6">
                  <w:pPr>
                    <w:ind w:right="-108"/>
                  </w:pPr>
                  <w:r w:rsidRPr="00441B4A">
                    <w:t xml:space="preserve">Крылова Т.В., </w:t>
                  </w:r>
                  <w:proofErr w:type="spellStart"/>
                  <w:r w:rsidRPr="00441B4A">
                    <w:t>Лестовкина</w:t>
                  </w:r>
                  <w:proofErr w:type="spellEnd"/>
                  <w:r w:rsidRPr="00441B4A">
                    <w:t xml:space="preserve">  ОО</w:t>
                  </w:r>
                </w:p>
              </w:tc>
              <w:tc>
                <w:tcPr>
                  <w:tcW w:w="2708" w:type="dxa"/>
                </w:tcPr>
                <w:p w:rsidR="003E7EA6" w:rsidRPr="0006024C" w:rsidRDefault="003E7EA6" w:rsidP="00E06DE2">
                  <w:r w:rsidRPr="00754F41">
                    <w:rPr>
                      <w:lang w:val="en-US"/>
                    </w:rPr>
                    <w:t>V</w:t>
                  </w:r>
                  <w:proofErr w:type="spellStart"/>
                  <w:r w:rsidR="004812EA">
                    <w:t>конф</w:t>
                  </w:r>
                  <w:proofErr w:type="spellEnd"/>
                  <w:r w:rsidR="004812EA">
                    <w:t>. «ИТ для новой школы»</w:t>
                  </w:r>
                </w:p>
              </w:tc>
            </w:tr>
            <w:tr w:rsidR="003E7EA6" w:rsidRPr="00441B4A" w:rsidTr="00275846">
              <w:trPr>
                <w:jc w:val="center"/>
              </w:trPr>
              <w:tc>
                <w:tcPr>
                  <w:tcW w:w="4428" w:type="dxa"/>
                  <w:vAlign w:val="center"/>
                </w:tcPr>
                <w:p w:rsidR="003E7EA6" w:rsidRPr="00441B4A" w:rsidRDefault="003E7EA6" w:rsidP="00E06DE2">
                  <w:r w:rsidRPr="00441B4A">
                    <w:t>Способы предупреждения перегрузки учащихся</w:t>
                  </w:r>
                </w:p>
              </w:tc>
              <w:tc>
                <w:tcPr>
                  <w:tcW w:w="1842" w:type="dxa"/>
                  <w:vAlign w:val="center"/>
                </w:tcPr>
                <w:p w:rsidR="003E7EA6" w:rsidRPr="00441B4A" w:rsidRDefault="003E7EA6" w:rsidP="003E7EA6">
                  <w:r w:rsidRPr="00441B4A">
                    <w:t>Тарасова О.К.</w:t>
                  </w:r>
                </w:p>
              </w:tc>
              <w:tc>
                <w:tcPr>
                  <w:tcW w:w="2708" w:type="dxa"/>
                </w:tcPr>
                <w:p w:rsidR="0006024C" w:rsidRPr="00E55860" w:rsidRDefault="000D2DA7" w:rsidP="0006024C">
                  <w:hyperlink r:id="rId7" w:history="1">
                    <w:r w:rsidR="00E55860" w:rsidRPr="00FE1515">
                      <w:rPr>
                        <w:rStyle w:val="a3"/>
                        <w:lang w:val="en-US"/>
                      </w:rPr>
                      <w:t>http</w:t>
                    </w:r>
                    <w:r w:rsidR="00E55860" w:rsidRPr="00FE1515">
                      <w:rPr>
                        <w:rStyle w:val="a3"/>
                      </w:rPr>
                      <w:t>://</w:t>
                    </w:r>
                    <w:proofErr w:type="spellStart"/>
                    <w:r w:rsidR="00E55860" w:rsidRPr="00FE1515">
                      <w:rPr>
                        <w:rStyle w:val="a3"/>
                        <w:lang w:val="en-US"/>
                      </w:rPr>
                      <w:t>nsportal</w:t>
                    </w:r>
                    <w:proofErr w:type="spellEnd"/>
                    <w:r w:rsidR="00E55860" w:rsidRPr="00FE1515">
                      <w:rPr>
                        <w:rStyle w:val="a3"/>
                      </w:rPr>
                      <w:t>.</w:t>
                    </w:r>
                    <w:proofErr w:type="spellStart"/>
                    <w:r w:rsidR="00E55860" w:rsidRPr="00FE1515">
                      <w:rPr>
                        <w:rStyle w:val="a3"/>
                        <w:lang w:val="en-US"/>
                      </w:rPr>
                      <w:t>ru</w:t>
                    </w:r>
                    <w:proofErr w:type="spellEnd"/>
                    <w:r w:rsidR="00E55860" w:rsidRPr="00FE1515">
                      <w:rPr>
                        <w:rStyle w:val="a3"/>
                      </w:rPr>
                      <w:t>/</w:t>
                    </w:r>
                    <w:proofErr w:type="spellStart"/>
                    <w:r w:rsidR="00E55860" w:rsidRPr="00FE1515">
                      <w:rPr>
                        <w:rStyle w:val="a3"/>
                        <w:lang w:val="en-US"/>
                      </w:rPr>
                      <w:t>shkola</w:t>
                    </w:r>
                    <w:proofErr w:type="spellEnd"/>
                    <w:r w:rsidR="00E55860" w:rsidRPr="00FE1515">
                      <w:rPr>
                        <w:rStyle w:val="a3"/>
                      </w:rPr>
                      <w:t>/</w:t>
                    </w:r>
                    <w:proofErr w:type="spellStart"/>
                    <w:r w:rsidR="00E55860" w:rsidRPr="00FE1515">
                      <w:rPr>
                        <w:rStyle w:val="a3"/>
                        <w:lang w:val="en-US"/>
                      </w:rPr>
                      <w:t>obshchepedagogicheskie</w:t>
                    </w:r>
                    <w:proofErr w:type="spellEnd"/>
                    <w:r w:rsidR="00E55860" w:rsidRPr="00FE1515">
                      <w:rPr>
                        <w:rStyle w:val="a3"/>
                      </w:rPr>
                      <w:t>-</w:t>
                    </w:r>
                    <w:proofErr w:type="spellStart"/>
                    <w:r w:rsidR="00E55860" w:rsidRPr="00FE1515">
                      <w:rPr>
                        <w:rStyle w:val="a3"/>
                        <w:lang w:val="en-US"/>
                      </w:rPr>
                      <w:t>tekhnologii</w:t>
                    </w:r>
                    <w:proofErr w:type="spellEnd"/>
                    <w:r w:rsidR="00E55860" w:rsidRPr="00FE1515">
                      <w:rPr>
                        <w:rStyle w:val="a3"/>
                      </w:rPr>
                      <w:t>/</w:t>
                    </w:r>
                    <w:r w:rsidR="00E55860" w:rsidRPr="00FE1515">
                      <w:rPr>
                        <w:rStyle w:val="a3"/>
                        <w:lang w:val="en-US"/>
                      </w:rPr>
                      <w:t>library</w:t>
                    </w:r>
                    <w:r w:rsidR="00E55860" w:rsidRPr="00FE1515">
                      <w:rPr>
                        <w:rStyle w:val="a3"/>
                      </w:rPr>
                      <w:t>/</w:t>
                    </w:r>
                    <w:proofErr w:type="spellStart"/>
                    <w:r w:rsidR="00E55860" w:rsidRPr="00FE1515">
                      <w:rPr>
                        <w:rStyle w:val="a3"/>
                        <w:lang w:val="en-US"/>
                      </w:rPr>
                      <w:t>statya</w:t>
                    </w:r>
                    <w:proofErr w:type="spellEnd"/>
                    <w:r w:rsidR="00E55860" w:rsidRPr="00FE1515">
                      <w:rPr>
                        <w:rStyle w:val="a3"/>
                      </w:rPr>
                      <w:t>-</w:t>
                    </w:r>
                    <w:proofErr w:type="spellStart"/>
                    <w:r w:rsidR="00E55860" w:rsidRPr="00FE1515">
                      <w:rPr>
                        <w:rStyle w:val="a3"/>
                        <w:lang w:val="en-US"/>
                      </w:rPr>
                      <w:t>cposoby</w:t>
                    </w:r>
                    <w:proofErr w:type="spellEnd"/>
                    <w:r w:rsidR="00E55860" w:rsidRPr="00FE1515">
                      <w:rPr>
                        <w:rStyle w:val="a3"/>
                      </w:rPr>
                      <w:t>-</w:t>
                    </w:r>
                    <w:proofErr w:type="spellStart"/>
                    <w:r w:rsidR="00E55860" w:rsidRPr="00FE1515">
                      <w:rPr>
                        <w:rStyle w:val="a3"/>
                        <w:lang w:val="en-US"/>
                      </w:rPr>
                      <w:t>preduprezhdeniya</w:t>
                    </w:r>
                    <w:proofErr w:type="spellEnd"/>
                    <w:r w:rsidR="00E55860" w:rsidRPr="00FE1515">
                      <w:rPr>
                        <w:rStyle w:val="a3"/>
                      </w:rPr>
                      <w:t>-</w:t>
                    </w:r>
                    <w:proofErr w:type="spellStart"/>
                    <w:r w:rsidR="00E55860" w:rsidRPr="00FE1515">
                      <w:rPr>
                        <w:rStyle w:val="a3"/>
                        <w:lang w:val="en-US"/>
                      </w:rPr>
                      <w:t>peregruzki</w:t>
                    </w:r>
                    <w:proofErr w:type="spellEnd"/>
                  </w:hyperlink>
                </w:p>
                <w:p w:rsidR="00E55860" w:rsidRPr="00E55860" w:rsidRDefault="00E55860" w:rsidP="0006024C"/>
              </w:tc>
            </w:tr>
            <w:tr w:rsidR="003E7EA6" w:rsidRPr="00441B4A" w:rsidTr="00275846">
              <w:trPr>
                <w:jc w:val="center"/>
              </w:trPr>
              <w:tc>
                <w:tcPr>
                  <w:tcW w:w="4428" w:type="dxa"/>
                  <w:vAlign w:val="center"/>
                </w:tcPr>
                <w:p w:rsidR="003E7EA6" w:rsidRPr="00441B4A" w:rsidRDefault="003E7EA6" w:rsidP="00E06DE2">
                  <w:r w:rsidRPr="00441B4A">
                    <w:t>Внедрение дистанционных технологий в условиях реализации новых образовательных стандартов</w:t>
                  </w:r>
                </w:p>
              </w:tc>
              <w:tc>
                <w:tcPr>
                  <w:tcW w:w="1842" w:type="dxa"/>
                  <w:vAlign w:val="center"/>
                </w:tcPr>
                <w:p w:rsidR="003E7EA6" w:rsidRPr="00441B4A" w:rsidRDefault="003E7EA6" w:rsidP="003E7EA6">
                  <w:r w:rsidRPr="00441B4A">
                    <w:t>Баринова Т.П., Казакова В.Н., Карюкина С.В.</w:t>
                  </w:r>
                </w:p>
              </w:tc>
              <w:tc>
                <w:tcPr>
                  <w:tcW w:w="2708" w:type="dxa"/>
                </w:tcPr>
                <w:p w:rsidR="003E7EA6" w:rsidRPr="003E7EA6" w:rsidRDefault="00275846" w:rsidP="00275846">
                  <w:proofErr w:type="spellStart"/>
                  <w:r>
                    <w:t>Межрег</w:t>
                  </w:r>
                  <w:proofErr w:type="spellEnd"/>
                  <w:r>
                    <w:t xml:space="preserve">. </w:t>
                  </w:r>
                  <w:proofErr w:type="spellStart"/>
                  <w:r>
                    <w:t>научно-практ</w:t>
                  </w:r>
                  <w:proofErr w:type="spellEnd"/>
                  <w:r>
                    <w:t xml:space="preserve">. </w:t>
                  </w:r>
                  <w:proofErr w:type="spellStart"/>
                  <w:r>
                    <w:t>конф</w:t>
                  </w:r>
                  <w:proofErr w:type="spellEnd"/>
                  <w:r>
                    <w:t xml:space="preserve">  «Проблемы межведомственного взаимодействия в сопровождении семей, имеющих детей с ограниченными возможностями здоровья</w:t>
                  </w:r>
                  <w:proofErr w:type="gramStart"/>
                  <w:r>
                    <w:t>»(</w:t>
                  </w:r>
                  <w:proofErr w:type="gramEnd"/>
                  <w:r>
                    <w:t>Карелия)</w:t>
                  </w:r>
                </w:p>
              </w:tc>
            </w:tr>
            <w:tr w:rsidR="003E7EA6" w:rsidRPr="00441B4A" w:rsidTr="00275846">
              <w:trPr>
                <w:jc w:val="center"/>
              </w:trPr>
              <w:tc>
                <w:tcPr>
                  <w:tcW w:w="4428" w:type="dxa"/>
                  <w:vAlign w:val="center"/>
                </w:tcPr>
                <w:p w:rsidR="003E7EA6" w:rsidRPr="00441B4A" w:rsidRDefault="003E7EA6" w:rsidP="00E06DE2">
                  <w:r w:rsidRPr="00441B4A">
                    <w:rPr>
                      <w:color w:val="000000"/>
                    </w:rPr>
                    <w:t>Формирование личной информационно-коммуникационной среды педагога.</w:t>
                  </w:r>
                </w:p>
              </w:tc>
              <w:tc>
                <w:tcPr>
                  <w:tcW w:w="1842" w:type="dxa"/>
                  <w:vAlign w:val="center"/>
                </w:tcPr>
                <w:p w:rsidR="003E7EA6" w:rsidRPr="00441B4A" w:rsidRDefault="003E7EA6" w:rsidP="003E7EA6">
                  <w:r w:rsidRPr="00441B4A">
                    <w:t>Шапиро К. В.</w:t>
                  </w:r>
                </w:p>
              </w:tc>
              <w:tc>
                <w:tcPr>
                  <w:tcW w:w="2708" w:type="dxa"/>
                </w:tcPr>
                <w:p w:rsidR="003E7EA6" w:rsidRPr="0006024C" w:rsidRDefault="003E7EA6" w:rsidP="00E06DE2">
                  <w:r w:rsidRPr="00754F41">
                    <w:rPr>
                      <w:lang w:val="en-US"/>
                    </w:rPr>
                    <w:t>V</w:t>
                  </w:r>
                  <w:proofErr w:type="spellStart"/>
                  <w:r w:rsidR="004812EA">
                    <w:t>конф</w:t>
                  </w:r>
                  <w:proofErr w:type="spellEnd"/>
                  <w:r w:rsidR="004812EA">
                    <w:t>. «ИТ для новой школы»</w:t>
                  </w:r>
                </w:p>
              </w:tc>
            </w:tr>
          </w:tbl>
          <w:p w:rsidR="003E7EA6" w:rsidRPr="007618B8" w:rsidRDefault="003E7EA6" w:rsidP="003E7EA6">
            <w:pPr>
              <w:pStyle w:val="2"/>
              <w:ind w:left="720" w:firstLine="0"/>
              <w:rPr>
                <w:rFonts w:ascii="Times New Roman" w:hAnsi="Times New Roman" w:cs="Times New Roman"/>
              </w:rPr>
            </w:pPr>
          </w:p>
          <w:p w:rsidR="00094202" w:rsidRDefault="00094202"/>
        </w:tc>
      </w:tr>
      <w:tr w:rsidR="00094202" w:rsidTr="00094202">
        <w:tc>
          <w:tcPr>
            <w:tcW w:w="900" w:type="dxa"/>
          </w:tcPr>
          <w:p w:rsidR="00094202" w:rsidRDefault="00094202" w:rsidP="003E7EA6">
            <w:pPr>
              <w:numPr>
                <w:ilvl w:val="0"/>
                <w:numId w:val="4"/>
              </w:numPr>
              <w:tabs>
                <w:tab w:val="left" w:pos="0"/>
                <w:tab w:val="left" w:pos="180"/>
                <w:tab w:val="left" w:pos="283"/>
              </w:tabs>
            </w:pPr>
          </w:p>
        </w:tc>
        <w:tc>
          <w:tcPr>
            <w:tcW w:w="9180" w:type="dxa"/>
            <w:hideMark/>
          </w:tcPr>
          <w:p w:rsidR="00094202" w:rsidRDefault="00094202" w:rsidP="00027A66">
            <w:pPr>
              <w:jc w:val="both"/>
              <w:rPr>
                <w:i/>
              </w:rPr>
            </w:pPr>
            <w:r>
              <w:t>Возможная трансляция опыта (</w:t>
            </w:r>
            <w:r>
              <w:rPr>
                <w:i/>
              </w:rPr>
              <w:t xml:space="preserve">публикации участников эксперимента, если такие планировались на данном этапе, участие в  семинарах,  конференциях  районного или иного уровня) </w:t>
            </w:r>
          </w:p>
          <w:p w:rsidR="00094202" w:rsidRDefault="00094202" w:rsidP="00027A66">
            <w:pPr>
              <w:jc w:val="both"/>
              <w:rPr>
                <w:color w:val="000000"/>
              </w:rPr>
            </w:pPr>
            <w:r>
              <w:rPr>
                <w:color w:val="000000"/>
              </w:rPr>
              <w:t xml:space="preserve">– выступления: на </w:t>
            </w:r>
            <w:r>
              <w:rPr>
                <w:color w:val="000000"/>
                <w:lang w:val="en-US"/>
              </w:rPr>
              <w:t>V</w:t>
            </w:r>
            <w:r>
              <w:rPr>
                <w:color w:val="000000"/>
              </w:rPr>
              <w:t xml:space="preserve"> Международной конференции </w:t>
            </w:r>
            <w:r>
              <w:rPr>
                <w:i/>
                <w:color w:val="000000"/>
              </w:rPr>
              <w:t xml:space="preserve">«Информационные технологии для Новой школы» </w:t>
            </w:r>
            <w:r>
              <w:rPr>
                <w:color w:val="000000"/>
              </w:rPr>
              <w:t>(с публикацией тезисов в сборнике Конференции), на Международном семинаре в г</w:t>
            </w:r>
            <w:proofErr w:type="gramStart"/>
            <w:r>
              <w:rPr>
                <w:color w:val="000000"/>
              </w:rPr>
              <w:t>.К</w:t>
            </w:r>
            <w:proofErr w:type="gramEnd"/>
            <w:r>
              <w:rPr>
                <w:color w:val="000000"/>
              </w:rPr>
              <w:t>лайпеда</w:t>
            </w:r>
            <w:r>
              <w:rPr>
                <w:i/>
                <w:color w:val="000000"/>
              </w:rPr>
              <w:t>«Использование информационных технологий в обучении детей с ОВЗ»</w:t>
            </w:r>
            <w:r>
              <w:rPr>
                <w:color w:val="000000"/>
              </w:rPr>
              <w:t xml:space="preserve">, Международный семинар </w:t>
            </w:r>
            <w:r>
              <w:rPr>
                <w:i/>
                <w:color w:val="000000"/>
              </w:rPr>
              <w:t>«Инновационное образование»</w:t>
            </w:r>
            <w:r>
              <w:rPr>
                <w:color w:val="000000"/>
              </w:rPr>
              <w:t xml:space="preserve">,  в городском </w:t>
            </w:r>
            <w:r>
              <w:rPr>
                <w:color w:val="000000"/>
              </w:rPr>
              <w:lastRenderedPageBreak/>
              <w:t xml:space="preserve">семинаре </w:t>
            </w:r>
            <w:r>
              <w:rPr>
                <w:i/>
                <w:color w:val="000000"/>
              </w:rPr>
              <w:t>«Разнообразие форм организации внеурочной деятельности обучающихся»</w:t>
            </w:r>
            <w:r>
              <w:rPr>
                <w:color w:val="000000"/>
              </w:rPr>
              <w:t xml:space="preserve">, в районном семинаре </w:t>
            </w:r>
            <w:r>
              <w:rPr>
                <w:i/>
                <w:color w:val="000000"/>
              </w:rPr>
              <w:t>«Обучение биологии и химии в школе в условиях реализации ФГОС: технологические и методические аспекты»</w:t>
            </w:r>
            <w:r>
              <w:rPr>
                <w:color w:val="000000"/>
              </w:rPr>
              <w:t xml:space="preserve">,  в  районном мастер-классе </w:t>
            </w:r>
            <w:r>
              <w:rPr>
                <w:i/>
                <w:color w:val="000000"/>
              </w:rPr>
              <w:t>«Презентации: способы создания и размещение в Интернет»</w:t>
            </w:r>
            <w:r>
              <w:rPr>
                <w:color w:val="000000"/>
              </w:rPr>
              <w:t xml:space="preserve">; </w:t>
            </w:r>
          </w:p>
          <w:p w:rsidR="00094202" w:rsidRDefault="00094202" w:rsidP="00027A66">
            <w:pPr>
              <w:jc w:val="both"/>
              <w:rPr>
                <w:color w:val="000000"/>
              </w:rPr>
            </w:pPr>
            <w:r>
              <w:rPr>
                <w:color w:val="000000"/>
              </w:rPr>
              <w:t xml:space="preserve">– участие в </w:t>
            </w:r>
            <w:r>
              <w:rPr>
                <w:i/>
                <w:color w:val="000000"/>
              </w:rPr>
              <w:t>«Школе руководителей образовательных учреждений»;</w:t>
            </w:r>
          </w:p>
          <w:p w:rsidR="00094202" w:rsidRDefault="00094202" w:rsidP="00027A66">
            <w:pPr>
              <w:jc w:val="both"/>
            </w:pPr>
            <w:r>
              <w:rPr>
                <w:color w:val="000000"/>
              </w:rPr>
              <w:t xml:space="preserve">– участие в районных семинарах и мастер-классах: информационно-методический семинар </w:t>
            </w:r>
            <w:r>
              <w:rPr>
                <w:i/>
                <w:color w:val="000000"/>
              </w:rPr>
              <w:t>«Особенности организации образовательного процесса для детей с ограниченными возможностями здоровья»</w:t>
            </w:r>
            <w:r>
              <w:rPr>
                <w:color w:val="000000"/>
              </w:rPr>
              <w:t xml:space="preserve">, мастер-класс </w:t>
            </w:r>
            <w:r>
              <w:rPr>
                <w:i/>
                <w:color w:val="000000"/>
              </w:rPr>
              <w:t>«Образовательный продукт: от идеи до продукта»,</w:t>
            </w:r>
            <w:r>
              <w:rPr>
                <w:color w:val="000000"/>
              </w:rPr>
              <w:t xml:space="preserve"> районный методический семинар </w:t>
            </w:r>
            <w:r>
              <w:rPr>
                <w:i/>
                <w:color w:val="000000"/>
              </w:rPr>
              <w:t>«Методика разработки учебных материалов с использованием дистанционных образовательных технологий»</w:t>
            </w:r>
            <w:r>
              <w:rPr>
                <w:color w:val="000000"/>
              </w:rPr>
              <w:t xml:space="preserve">.   </w:t>
            </w:r>
          </w:p>
        </w:tc>
      </w:tr>
      <w:tr w:rsidR="00094202" w:rsidTr="00094202">
        <w:tc>
          <w:tcPr>
            <w:tcW w:w="900" w:type="dxa"/>
          </w:tcPr>
          <w:p w:rsidR="00094202" w:rsidRDefault="00094202" w:rsidP="003E7EA6">
            <w:pPr>
              <w:numPr>
                <w:ilvl w:val="0"/>
                <w:numId w:val="4"/>
              </w:numPr>
              <w:tabs>
                <w:tab w:val="left" w:pos="0"/>
                <w:tab w:val="left" w:pos="180"/>
                <w:tab w:val="left" w:pos="283"/>
              </w:tabs>
            </w:pPr>
          </w:p>
        </w:tc>
        <w:tc>
          <w:tcPr>
            <w:tcW w:w="9180" w:type="dxa"/>
            <w:hideMark/>
          </w:tcPr>
          <w:p w:rsidR="00094202" w:rsidRDefault="00094202" w:rsidP="00027A66">
            <w:pPr>
              <w:jc w:val="both"/>
            </w:pPr>
            <w:r>
              <w:t>Общий вывод по итогам  реализации 1 этапа ОЭР:</w:t>
            </w:r>
          </w:p>
          <w:p w:rsidR="00094202" w:rsidRDefault="00094202" w:rsidP="00027A66">
            <w:pPr>
              <w:jc w:val="both"/>
            </w:pPr>
            <w:r>
              <w:t>Итоги этапа соответствуют первоначальному замыслу. Проведение мониторинговых исследований и анализа начальных условий показало необходимость экспериментальной работы. Анализ уровня технологической компетентности  педагогов выявил более глубокие проблемы, чем это представлялось первоначально, что требует более детальной проработки программы повышения квалификации учителей. Анализ нормативной базы показал, что требуется проектирование системы локальных актов школы в соответствии с разрабатываемой функциональной моделью организации дистанционного обучения. В настоящее время ведется доработка программы эксперимента на 2014-2015 уч. год с учетом результатов первого этапа эксперимента и разработанной  моделью организации дистанционного обучения в общеобразовательной школе.</w:t>
            </w:r>
          </w:p>
        </w:tc>
      </w:tr>
      <w:tr w:rsidR="00094202" w:rsidTr="00094202">
        <w:tc>
          <w:tcPr>
            <w:tcW w:w="900" w:type="dxa"/>
          </w:tcPr>
          <w:p w:rsidR="00094202" w:rsidRDefault="00094202" w:rsidP="003E7EA6">
            <w:pPr>
              <w:numPr>
                <w:ilvl w:val="0"/>
                <w:numId w:val="4"/>
              </w:numPr>
              <w:tabs>
                <w:tab w:val="left" w:pos="0"/>
                <w:tab w:val="left" w:pos="180"/>
                <w:tab w:val="left" w:pos="283"/>
              </w:tabs>
            </w:pPr>
          </w:p>
        </w:tc>
        <w:tc>
          <w:tcPr>
            <w:tcW w:w="9180" w:type="dxa"/>
            <w:hideMark/>
          </w:tcPr>
          <w:p w:rsidR="00094202" w:rsidRDefault="00094202">
            <w:r>
              <w:t>Руководитель эксперимента: Шапиро Константин Вячеславович, к.п.н., Почётный работник общего образования РФ.</w:t>
            </w:r>
          </w:p>
        </w:tc>
      </w:tr>
    </w:tbl>
    <w:p w:rsidR="00094202" w:rsidRDefault="00094202" w:rsidP="00094202">
      <w:pPr>
        <w:jc w:val="center"/>
      </w:pPr>
    </w:p>
    <w:p w:rsidR="00094202" w:rsidRDefault="00094202" w:rsidP="00094202">
      <w:pPr>
        <w:jc w:val="center"/>
      </w:pPr>
      <w:r>
        <w:t xml:space="preserve">                                                    Директор ОУ </w:t>
      </w:r>
      <w:proofErr w:type="spellStart"/>
      <w:r>
        <w:t>__________Т.П.Баринова</w:t>
      </w:r>
      <w:proofErr w:type="spellEnd"/>
    </w:p>
    <w:p w:rsidR="00F36F47" w:rsidRDefault="00F36F47"/>
    <w:sectPr w:rsidR="00F36F47" w:rsidSect="000D2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A69F1"/>
    <w:multiLevelType w:val="hybridMultilevel"/>
    <w:tmpl w:val="7D161D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5916779"/>
    <w:multiLevelType w:val="hybridMultilevel"/>
    <w:tmpl w:val="CC9AAD40"/>
    <w:lvl w:ilvl="0" w:tplc="4D120AF6">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2">
    <w:nsid w:val="5BE356FD"/>
    <w:multiLevelType w:val="hybridMultilevel"/>
    <w:tmpl w:val="7D161D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94202"/>
    <w:rsid w:val="00027A66"/>
    <w:rsid w:val="0006024C"/>
    <w:rsid w:val="00094202"/>
    <w:rsid w:val="000D2DA7"/>
    <w:rsid w:val="00275846"/>
    <w:rsid w:val="003E7EA6"/>
    <w:rsid w:val="004812EA"/>
    <w:rsid w:val="004C5131"/>
    <w:rsid w:val="007618B8"/>
    <w:rsid w:val="00B172E8"/>
    <w:rsid w:val="00E55860"/>
    <w:rsid w:val="00F36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094202"/>
    <w:pPr>
      <w:widowControl w:val="0"/>
      <w:autoSpaceDE w:val="0"/>
      <w:autoSpaceDN w:val="0"/>
      <w:adjustRightInd w:val="0"/>
      <w:ind w:firstLine="567"/>
      <w:jc w:val="both"/>
    </w:pPr>
    <w:rPr>
      <w:rFonts w:ascii="Arial" w:hAnsi="Arial" w:cs="Arial"/>
      <w:color w:val="000000"/>
    </w:rPr>
  </w:style>
  <w:style w:type="character" w:customStyle="1" w:styleId="20">
    <w:name w:val="Основной текст с отступом 2 Знак"/>
    <w:basedOn w:val="a0"/>
    <w:link w:val="2"/>
    <w:semiHidden/>
    <w:rsid w:val="00094202"/>
    <w:rPr>
      <w:rFonts w:ascii="Arial" w:eastAsia="Times New Roman" w:hAnsi="Arial" w:cs="Arial"/>
      <w:color w:val="000000"/>
      <w:sz w:val="24"/>
      <w:szCs w:val="24"/>
      <w:lang w:eastAsia="ru-RU"/>
    </w:rPr>
  </w:style>
  <w:style w:type="character" w:styleId="a3">
    <w:name w:val="Hyperlink"/>
    <w:basedOn w:val="a0"/>
    <w:uiPriority w:val="99"/>
    <w:unhideWhenUsed/>
    <w:rsid w:val="007618B8"/>
    <w:rPr>
      <w:color w:val="0000FF" w:themeColor="hyperlink"/>
      <w:u w:val="single"/>
    </w:rPr>
  </w:style>
  <w:style w:type="character" w:styleId="a4">
    <w:name w:val="FollowedHyperlink"/>
    <w:basedOn w:val="a0"/>
    <w:uiPriority w:val="99"/>
    <w:semiHidden/>
    <w:unhideWhenUsed/>
    <w:rsid w:val="007618B8"/>
    <w:rPr>
      <w:color w:val="800080" w:themeColor="followedHyperlink"/>
      <w:u w:val="single"/>
    </w:rPr>
  </w:style>
  <w:style w:type="paragraph" w:styleId="21">
    <w:name w:val="Body Text 2"/>
    <w:basedOn w:val="a"/>
    <w:link w:val="22"/>
    <w:uiPriority w:val="99"/>
    <w:semiHidden/>
    <w:unhideWhenUsed/>
    <w:rsid w:val="003E7EA6"/>
    <w:pPr>
      <w:spacing w:after="120" w:line="480" w:lineRule="auto"/>
    </w:pPr>
  </w:style>
  <w:style w:type="character" w:customStyle="1" w:styleId="22">
    <w:name w:val="Основной текст 2 Знак"/>
    <w:basedOn w:val="a0"/>
    <w:link w:val="21"/>
    <w:uiPriority w:val="99"/>
    <w:semiHidden/>
    <w:rsid w:val="003E7E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094202"/>
    <w:pPr>
      <w:widowControl w:val="0"/>
      <w:autoSpaceDE w:val="0"/>
      <w:autoSpaceDN w:val="0"/>
      <w:adjustRightInd w:val="0"/>
      <w:ind w:firstLine="567"/>
      <w:jc w:val="both"/>
    </w:pPr>
    <w:rPr>
      <w:rFonts w:ascii="Arial" w:hAnsi="Arial" w:cs="Arial"/>
      <w:color w:val="000000"/>
    </w:rPr>
  </w:style>
  <w:style w:type="character" w:customStyle="1" w:styleId="20">
    <w:name w:val="Основной текст с отступом 2 Знак"/>
    <w:basedOn w:val="a0"/>
    <w:link w:val="2"/>
    <w:semiHidden/>
    <w:rsid w:val="00094202"/>
    <w:rPr>
      <w:rFonts w:ascii="Arial" w:eastAsia="Times New Roman" w:hAnsi="Arial" w:cs="Arial"/>
      <w:color w:val="000000"/>
      <w:sz w:val="24"/>
      <w:szCs w:val="24"/>
      <w:lang w:eastAsia="ru-RU"/>
    </w:rPr>
  </w:style>
  <w:style w:type="character" w:styleId="a3">
    <w:name w:val="Hyperlink"/>
    <w:basedOn w:val="a0"/>
    <w:uiPriority w:val="99"/>
    <w:unhideWhenUsed/>
    <w:rsid w:val="007618B8"/>
    <w:rPr>
      <w:color w:val="0000FF" w:themeColor="hyperlink"/>
      <w:u w:val="single"/>
    </w:rPr>
  </w:style>
  <w:style w:type="character" w:styleId="a4">
    <w:name w:val="FollowedHyperlink"/>
    <w:basedOn w:val="a0"/>
    <w:uiPriority w:val="99"/>
    <w:semiHidden/>
    <w:unhideWhenUsed/>
    <w:rsid w:val="007618B8"/>
    <w:rPr>
      <w:color w:val="800080" w:themeColor="followedHyperlink"/>
      <w:u w:val="single"/>
    </w:rPr>
  </w:style>
  <w:style w:type="paragraph" w:styleId="21">
    <w:name w:val="Body Text 2"/>
    <w:basedOn w:val="a"/>
    <w:link w:val="22"/>
    <w:uiPriority w:val="99"/>
    <w:semiHidden/>
    <w:unhideWhenUsed/>
    <w:rsid w:val="003E7EA6"/>
    <w:pPr>
      <w:spacing w:after="120" w:line="480" w:lineRule="auto"/>
    </w:pPr>
  </w:style>
  <w:style w:type="character" w:customStyle="1" w:styleId="22">
    <w:name w:val="Основной текст 2 Знак"/>
    <w:basedOn w:val="a0"/>
    <w:link w:val="21"/>
    <w:uiPriority w:val="99"/>
    <w:semiHidden/>
    <w:rsid w:val="003E7EA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6914322">
      <w:bodyDiv w:val="1"/>
      <w:marLeft w:val="0"/>
      <w:marRight w:val="0"/>
      <w:marTop w:val="0"/>
      <w:marBottom w:val="0"/>
      <w:divBdr>
        <w:top w:val="none" w:sz="0" w:space="0" w:color="auto"/>
        <w:left w:val="none" w:sz="0" w:space="0" w:color="auto"/>
        <w:bottom w:val="none" w:sz="0" w:space="0" w:color="auto"/>
        <w:right w:val="none" w:sz="0" w:space="0" w:color="auto"/>
      </w:divBdr>
    </w:div>
    <w:div w:id="487676476">
      <w:bodyDiv w:val="1"/>
      <w:marLeft w:val="0"/>
      <w:marRight w:val="0"/>
      <w:marTop w:val="0"/>
      <w:marBottom w:val="0"/>
      <w:divBdr>
        <w:top w:val="none" w:sz="0" w:space="0" w:color="auto"/>
        <w:left w:val="none" w:sz="0" w:space="0" w:color="auto"/>
        <w:bottom w:val="none" w:sz="0" w:space="0" w:color="auto"/>
        <w:right w:val="none" w:sz="0" w:space="0" w:color="auto"/>
      </w:divBdr>
    </w:div>
    <w:div w:id="15736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sportal.ru/shkola/obshchepedagogicheskie-tekhnologii/library/statya-cposoby-preduprezhdeniya-peregruz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fe355.ucoz.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E87B-B260-441A-A5EB-EF6560D2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ГОУ СОШ 627</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8</cp:revision>
  <dcterms:created xsi:type="dcterms:W3CDTF">2014-06-09T09:09:00Z</dcterms:created>
  <dcterms:modified xsi:type="dcterms:W3CDTF">2014-10-22T17:02:00Z</dcterms:modified>
</cp:coreProperties>
</file>